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A589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0" w:right="0"/>
        <w:jc w:val="both"/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b w:val="0"/>
          <w:bCs w:val="0"/>
          <w:kern w:val="44"/>
          <w:sz w:val="32"/>
          <w:szCs w:val="32"/>
          <w:shd w:val="clear" w:fill="FFFFFF"/>
          <w:lang w:val="en-US" w:eastAsia="zh-CN" w:bidi="ar"/>
        </w:rPr>
        <w:t>案例一</w:t>
      </w:r>
    </w:p>
    <w:p w14:paraId="4944833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left="0" w:firstLine="443"/>
        <w:jc w:val="center"/>
        <w:textAlignment w:val="auto"/>
        <w:rPr>
          <w:rFonts w:hint="eastAsia" w:ascii="楷体" w:hAnsi="楷体" w:eastAsia="楷体" w:cs="楷体"/>
          <w:b w:val="0"/>
          <w:bCs w:val="0"/>
          <w:kern w:val="44"/>
          <w:sz w:val="28"/>
          <w:szCs w:val="28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44"/>
          <w:sz w:val="44"/>
          <w:szCs w:val="44"/>
          <w:shd w:val="clear" w:color="auto" w:fill="FFFFFF"/>
          <w:lang w:val="en-US" w:eastAsia="zh-CN" w:bidi="ar-SA"/>
        </w:rPr>
        <w:t>违反中央八项规定精神典型案例（六）</w:t>
      </w:r>
    </w:p>
    <w:p w14:paraId="71DDA0F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</w:p>
    <w:p w14:paraId="562FEA5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3" w:firstLineChars="200"/>
        <w:textAlignment w:val="auto"/>
        <w:rPr>
          <w:rFonts w:hint="eastAsia" w:ascii="仿宋" w:hAnsi="仿宋" w:eastAsia="仿宋" w:cs="仿宋"/>
          <w:b/>
          <w:bCs/>
          <w:kern w:val="44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44"/>
          <w:sz w:val="32"/>
          <w:szCs w:val="32"/>
          <w:lang w:val="en-US" w:eastAsia="zh-CN" w:bidi="ar"/>
        </w:rPr>
        <w:t>以虚列事由套取费用等方式违规吃喝</w:t>
      </w:r>
    </w:p>
    <w:p w14:paraId="63B4772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44"/>
          <w:sz w:val="32"/>
          <w:szCs w:val="32"/>
          <w:lang w:val="en-US" w:eastAsia="zh-CN" w:bidi="ar"/>
        </w:rPr>
        <w:t>案例：</w:t>
      </w: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  <w:t>某镇应急管理所所长张某，为套取违规吃喝费用，虚假策划了一场针对辖区内企业负责人的"安全生产培训"。他安排下属王某编造培训计划、课程内容，要求突出"专业性"，同时虚构学员名单，涵盖了辖区内多家企业的负责人。事实上，张某带着所里的工作人员来到一家高档餐厅大吃大喝，总共花费3000多元。之后，张某让王某准备假培训资料，虚构培训成果报告，将费用伪装成培训期间的各项开支，在单位财务报销。</w:t>
      </w:r>
    </w:p>
    <w:p w14:paraId="0746A00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44"/>
          <w:sz w:val="32"/>
          <w:szCs w:val="32"/>
          <w:lang w:val="en-US" w:eastAsia="zh-CN" w:bidi="ar"/>
        </w:rPr>
        <w:t>剖析：</w:t>
      </w: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  <w:t>以虚列事由套取费用等方式违规吃喝，是当前"四风"隐形变异的一种新形式、新变种。案例中的张某、王某及其他人员纪法意识淡薄，受享乐主义、奢靡之风驱使，将公权力作为满足私欲的工具，以虚假培训方式套取公款用于吃喝，妄图采取隐蔽手段蒙混过关。最终，难逃纪律的惩处。这些行为不仅浪费公共财产，损害党和政府公信力，还可能引发他人跟风效仿，加剧不正之风蔓延，必须予以严肃纠治。</w:t>
      </w:r>
    </w:p>
    <w:p w14:paraId="2EC2ED2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  <w:t>出现上述行为通常情况是由于单位内部监管机制存在漏洞，财务审核把关不严，对虚假资料缺乏有效核实审查，相关制度执行不力，缺乏有效监督。从实践看，以套取费用、虚列费用等方式吃喝花样百出，比如以办公费、宣传费、会议费、培训费、印刷费、劳务费、招待费等虚假名义，通过虚开发票等方式，套取公款报销餐费。有的将吃喝的大额费用拆分为小额发票报销，或者通过收入不入账、账外有账，建立"小金库"用于违规吃喝。还有的通过项目资金等专项工作经费支付吃喝费用。但无论隐藏多深、变异多巧，都难逃越织越密、越来越精准的执纪之网。</w:t>
      </w:r>
    </w:p>
    <w:p w14:paraId="0B8B950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  <w:t>违规吃喝问题绝非小事小节，关系党和政府在人民群众心中的形象。各级纪检监察机关要坚持零容忍态度，对套取费用、虚列费用等隐形变异的违规吃喝问题，发现一起、查处一起，使违规违纪者付出应有代价。广大党员干部和公职人员也必须时刻警醒，不得触碰"红线"。</w:t>
      </w:r>
    </w:p>
    <w:p w14:paraId="193A7FF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  <w:t>除了严厉的事后处理措施外，还需要从制度层面加强对权力的规范和约束，加强预算、审计及日常审批管理等环节的事前预防和事中监督，推动政务公开，确保财务预算及报销制度在严密监督下运行，全面堵塞管理漏洞。</w:t>
      </w:r>
    </w:p>
    <w:p w14:paraId="4A43D5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sz w:val="32"/>
          <w:szCs w:val="32"/>
        </w:rPr>
      </w:pPr>
    </w:p>
    <w:p w14:paraId="7306D5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sz w:val="32"/>
          <w:szCs w:val="32"/>
        </w:rPr>
      </w:pPr>
    </w:p>
    <w:p w14:paraId="45BA085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</w:p>
    <w:p w14:paraId="6F8F5D8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</w:p>
    <w:p w14:paraId="1EB5107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</w:p>
    <w:p w14:paraId="49EB04F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</w:p>
    <w:p w14:paraId="1B83BE3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</w:p>
    <w:p w14:paraId="0F12E02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</w:p>
    <w:p w14:paraId="7E546FE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</w:p>
    <w:p w14:paraId="4C53C24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</w:p>
    <w:p w14:paraId="6D7CD5C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</w:p>
    <w:p w14:paraId="128A328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44"/>
          <w:sz w:val="32"/>
          <w:szCs w:val="32"/>
          <w:lang w:val="en-US" w:eastAsia="zh-CN" w:bidi="ar-SA"/>
        </w:rPr>
        <w:t>案例二</w:t>
      </w:r>
    </w:p>
    <w:p w14:paraId="3944DE0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大国工匠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张洪宾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——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 xml:space="preserve">头发丝直径十六分之一 </w:t>
      </w:r>
    </w:p>
    <w:p w14:paraId="2877CCF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他在毫厘间精准打磨动车零件</w:t>
      </w:r>
    </w:p>
    <w:p w14:paraId="0F7D70A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</w:p>
    <w:p w14:paraId="0C0BAAA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  <w:t>全球最快高铁CR450动车组样车正进行型式试验，其制动系统面临极限挑战：需在112秒内将时速400公里的列车刹停，制动距离仅6500米。张洪宾作为铁科纵横（天津）高级技师，带领团队攻克了制动盘盘毂和楔形销两大核心部件的精密制造难题。</w:t>
      </w:r>
    </w:p>
    <w:p w14:paraId="3F08B64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  <w:t>盘毂作为制动系统的"力量担当"，需耐受700℃高温且精度达0.005毫米。2012年"复兴号"研发时，张洪宾突破常规工艺，放弃进口磨床方案，大胆采用高精度车削技术。历经3个月攻关，通过7种刀具试验、9种走刀路径优化，创新实现车床加工盘毂，效率更比国外工艺提升一倍。</w:t>
      </w:r>
    </w:p>
    <w:p w14:paraId="77830E4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  <w:t>在CR450研发中，张洪宾再遇“楔形销”难题。这个5厘米高的"安全锁扣"加工时易出现让刀现象。他通过创新弧面数控加工技术，优化异形刀具参数，精准控制切削深度和转速，最终实现楔形销与制动夹钳的完美配合。</w:t>
      </w:r>
    </w:p>
    <w:p w14:paraId="3D76AE1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  <w:t>从复兴号CR400到CR450，中国高铁完成从追赶到领跑的跨越。张洪宾团队将零部件加工精度持续推向新高度，其研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  <w:t>发的制动系统已装车试验，支撑中国高铁向时速400公里迈进。</w:t>
      </w:r>
    </w:p>
    <w:p w14:paraId="4E4C001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</w:p>
    <w:p w14:paraId="6229BA8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</w:p>
    <w:p w14:paraId="65F5909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kern w:val="44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6AF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E05C6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E05C6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A2581"/>
    <w:rsid w:val="1965262D"/>
    <w:rsid w:val="226C3F89"/>
    <w:rsid w:val="28941748"/>
    <w:rsid w:val="445175A7"/>
    <w:rsid w:val="47CB3E82"/>
    <w:rsid w:val="48B22473"/>
    <w:rsid w:val="4D64660C"/>
    <w:rsid w:val="614E310A"/>
    <w:rsid w:val="6BBD0EFB"/>
    <w:rsid w:val="779D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cs="宋体"/>
      <w:kern w:val="0"/>
      <w:sz w:val="24"/>
      <w:szCs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page number"/>
    <w:qFormat/>
    <w:uiPriority w:val="0"/>
  </w:style>
  <w:style w:type="character" w:customStyle="1" w:styleId="10">
    <w:name w:val="15"/>
    <w:basedOn w:val="7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1010</Words>
  <Characters>1033</Characters>
  <Lines>0</Lines>
  <Paragraphs>0</Paragraphs>
  <TotalTime>1</TotalTime>
  <ScaleCrop>false</ScaleCrop>
  <LinksUpToDate>false</LinksUpToDate>
  <CharactersWithSpaces>1040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2025-04-26T01:45:00Z</dcterms:created>
  <dc:creator>Administrator</dc:creator>
  <cp:lastModifiedBy>刘静</cp:lastModifiedBy>
  <dcterms:modified xsi:type="dcterms:W3CDTF">2025-05-19T08:25:23Z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eyJoZGlkIjoiMGZlZjU3MjdjOWY2Y2ZmNTEyMTNlNWZiY2ViYjhhOWMiLCJ1c2VySWQiOiIxNjY1OTQ1NjczIn0=</vt:lpwstr>
  </property>
  <property fmtid="{D5CDD505-2E9C-101B-9397-08002B2CF9AE}" pid="4" name="ICV">
    <vt:lpwstr>5CCC354902974156B80DEBAA55A39629_12</vt:lpwstr>
  </property>
</Properties>
</file>