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E179F">
      <w:pPr>
        <w:spacing w:line="360" w:lineRule="auto"/>
        <w:jc w:val="center"/>
        <w:rPr>
          <w:rFonts w:ascii="Times New Roman" w:hAnsi="Times New Roman" w:cs="Times New Roman" w:eastAsiaTheme="majorEastAsia"/>
          <w:b/>
          <w:bCs/>
          <w:color w:val="000000" w:themeColor="text1"/>
          <w:sz w:val="44"/>
          <w:szCs w:val="44"/>
          <w14:textFill>
            <w14:solidFill>
              <w14:schemeClr w14:val="tx1"/>
            </w14:solidFill>
          </w14:textFill>
        </w:rPr>
      </w:pPr>
      <w:r>
        <w:rPr>
          <w:rFonts w:ascii="Times New Roman" w:hAnsi="Times New Roman" w:cs="Times New Roman" w:eastAsiaTheme="majorEastAsia"/>
          <w:b/>
          <w:bCs/>
          <w:color w:val="000000" w:themeColor="text1"/>
          <w:sz w:val="32"/>
          <w:szCs w:val="32"/>
          <w:u w:val="single"/>
          <w14:textFill>
            <w14:solidFill>
              <w14:schemeClr w14:val="tx1"/>
            </w14:solidFill>
          </w14:textFill>
        </w:rPr>
        <w:t xml:space="preserve">          </w:t>
      </w:r>
      <w:r>
        <w:rPr>
          <w:rFonts w:ascii="Times New Roman" w:hAnsi="Times New Roman" w:cs="Times New Roman" w:eastAsiaTheme="majorEastAsia"/>
          <w:b/>
          <w:bCs/>
          <w:color w:val="000000" w:themeColor="text1"/>
          <w:sz w:val="44"/>
          <w:szCs w:val="44"/>
          <w14:textFill>
            <w14:solidFill>
              <w14:schemeClr w14:val="tx1"/>
            </w14:solidFill>
          </w14:textFill>
        </w:rPr>
        <w:t>选择承接培训机构评审参考表</w:t>
      </w:r>
    </w:p>
    <w:p w14:paraId="418EB161">
      <w:pPr>
        <w:spacing w:line="360" w:lineRule="auto"/>
        <w:jc w:val="both"/>
        <w:rPr>
          <w:rFonts w:ascii="Times New Roman" w:hAnsi="Times New Roman" w:cs="Times New Roman" w:eastAsiaTheme="majorEastAsia"/>
          <w:b/>
          <w:bCs/>
          <w:color w:val="000000" w:themeColor="text1"/>
          <w:sz w:val="32"/>
          <w:szCs w:val="32"/>
          <w14:textFill>
            <w14:solidFill>
              <w14:schemeClr w14:val="tx1"/>
            </w14:solidFill>
          </w14:textFill>
        </w:rPr>
      </w:pPr>
    </w:p>
    <w:p w14:paraId="7C72C871">
      <w:pPr>
        <w:spacing w:line="360" w:lineRule="auto"/>
        <w:jc w:val="both"/>
        <w:rPr>
          <w:rFonts w:ascii="Times New Roman" w:hAnsi="Times New Roman" w:cs="Times New Roman" w:eastAsiaTheme="majorEastAsia"/>
          <w:b/>
          <w:bCs/>
          <w:color w:val="000000" w:themeColor="text1"/>
          <w:sz w:val="32"/>
          <w:szCs w:val="32"/>
          <w:u w:val="single"/>
          <w14:textFill>
            <w14:solidFill>
              <w14:schemeClr w14:val="tx1"/>
            </w14:solidFill>
          </w14:textFill>
        </w:rPr>
      </w:pPr>
      <w:r>
        <w:rPr>
          <w:rFonts w:ascii="Times New Roman" w:hAnsi="Times New Roman" w:cs="Times New Roman" w:eastAsiaTheme="majorEastAsia"/>
          <w:b/>
          <w:bCs/>
          <w:color w:val="000000" w:themeColor="text1"/>
          <w:sz w:val="32"/>
          <w:szCs w:val="32"/>
          <w14:textFill>
            <w14:solidFill>
              <w14:schemeClr w14:val="tx1"/>
            </w14:solidFill>
          </w14:textFill>
        </w:rPr>
        <w:t>机构名称：</w:t>
      </w:r>
      <w:r>
        <w:rPr>
          <w:rFonts w:ascii="Times New Roman" w:hAnsi="Times New Roman" w:cs="Times New Roman" w:eastAsiaTheme="majorEastAsia"/>
          <w:b/>
          <w:bCs/>
          <w:color w:val="000000" w:themeColor="text1"/>
          <w:sz w:val="32"/>
          <w:szCs w:val="32"/>
          <w:u w:val="single"/>
          <w14:textFill>
            <w14:solidFill>
              <w14:schemeClr w14:val="tx1"/>
            </w14:solidFill>
          </w14:textFill>
        </w:rPr>
        <w:t xml:space="preserve">                            </w:t>
      </w:r>
    </w:p>
    <w:tbl>
      <w:tblPr>
        <w:tblStyle w:val="6"/>
        <w:tblpPr w:leftFromText="180" w:rightFromText="180" w:vertAnchor="text" w:horzAnchor="page" w:tblpX="1513" w:tblpY="862"/>
        <w:tblOverlap w:val="never"/>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363"/>
        <w:gridCol w:w="8221"/>
        <w:gridCol w:w="2410"/>
        <w:gridCol w:w="1276"/>
      </w:tblGrid>
      <w:tr w14:paraId="4CF9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30" w:type="dxa"/>
            <w:shd w:val="clear" w:color="auto" w:fill="auto"/>
            <w:vAlign w:val="center"/>
          </w:tcPr>
          <w:p w14:paraId="5A808B90">
            <w:pPr>
              <w:jc w:val="center"/>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序号</w:t>
            </w:r>
          </w:p>
        </w:tc>
        <w:tc>
          <w:tcPr>
            <w:tcW w:w="1363" w:type="dxa"/>
            <w:shd w:val="clear" w:color="auto" w:fill="auto"/>
            <w:vAlign w:val="center"/>
          </w:tcPr>
          <w:p w14:paraId="1076FE8A">
            <w:pPr>
              <w:jc w:val="center"/>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评审内容</w:t>
            </w:r>
          </w:p>
        </w:tc>
        <w:tc>
          <w:tcPr>
            <w:tcW w:w="8221" w:type="dxa"/>
            <w:shd w:val="clear" w:color="auto" w:fill="auto"/>
            <w:vAlign w:val="center"/>
          </w:tcPr>
          <w:p w14:paraId="400FA4D6">
            <w:pPr>
              <w:jc w:val="center"/>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评审参考标准</w:t>
            </w:r>
          </w:p>
        </w:tc>
        <w:tc>
          <w:tcPr>
            <w:tcW w:w="2410" w:type="dxa"/>
            <w:shd w:val="clear" w:color="auto" w:fill="auto"/>
            <w:vAlign w:val="center"/>
          </w:tcPr>
          <w:p w14:paraId="33338221">
            <w:pPr>
              <w:jc w:val="center"/>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评审方式</w:t>
            </w:r>
          </w:p>
        </w:tc>
        <w:tc>
          <w:tcPr>
            <w:tcW w:w="1276" w:type="dxa"/>
            <w:shd w:val="clear" w:color="auto" w:fill="auto"/>
            <w:vAlign w:val="center"/>
          </w:tcPr>
          <w:p w14:paraId="5A140467">
            <w:pPr>
              <w:jc w:val="center"/>
              <w:rPr>
                <w:rFonts w:ascii="Times New Roman" w:hAnsi="Times New Roman" w:cs="Times New Roman"/>
                <w:bCs/>
                <w:color w:val="000000" w:themeColor="text1"/>
                <w:sz w:val="32"/>
                <w:szCs w:val="32"/>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得分</w:t>
            </w:r>
          </w:p>
        </w:tc>
      </w:tr>
      <w:tr w14:paraId="5D5C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0" w:type="dxa"/>
            <w:shd w:val="clear" w:color="auto" w:fill="auto"/>
            <w:vAlign w:val="center"/>
          </w:tcPr>
          <w:p w14:paraId="25CCC868">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一</w:t>
            </w:r>
          </w:p>
        </w:tc>
        <w:tc>
          <w:tcPr>
            <w:tcW w:w="1363" w:type="dxa"/>
            <w:shd w:val="clear" w:color="auto" w:fill="auto"/>
            <w:vAlign w:val="center"/>
          </w:tcPr>
          <w:p w14:paraId="3C3104E4">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培训机构资质（10分）</w:t>
            </w:r>
          </w:p>
        </w:tc>
        <w:tc>
          <w:tcPr>
            <w:tcW w:w="8221" w:type="dxa"/>
            <w:shd w:val="clear" w:color="auto" w:fill="auto"/>
            <w:vAlign w:val="center"/>
          </w:tcPr>
          <w:p w14:paraId="3F9560C4">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1.培训机构资质证明文件、办学资质齐全，注册地与实际办公地一致的，得10分；</w:t>
            </w:r>
          </w:p>
          <w:p w14:paraId="60AE130C">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2.资质证明文件、办学资质不齐全或注册地与实际办公地不一致的，酌情扣分或不得分。</w:t>
            </w:r>
          </w:p>
        </w:tc>
        <w:tc>
          <w:tcPr>
            <w:tcW w:w="2410" w:type="dxa"/>
            <w:shd w:val="clear" w:color="auto" w:fill="auto"/>
            <w:vAlign w:val="center"/>
          </w:tcPr>
          <w:p w14:paraId="111D9704">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查看培训机构资质证明文件、许可证，产权证或租赁合同。</w:t>
            </w:r>
          </w:p>
        </w:tc>
        <w:tc>
          <w:tcPr>
            <w:tcW w:w="1276" w:type="dxa"/>
            <w:shd w:val="clear" w:color="auto" w:fill="auto"/>
          </w:tcPr>
          <w:p w14:paraId="37373E42">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4958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30" w:type="dxa"/>
            <w:shd w:val="clear" w:color="auto" w:fill="auto"/>
            <w:vAlign w:val="center"/>
          </w:tcPr>
          <w:p w14:paraId="3726E029">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二</w:t>
            </w:r>
          </w:p>
        </w:tc>
        <w:tc>
          <w:tcPr>
            <w:tcW w:w="1363" w:type="dxa"/>
            <w:shd w:val="clear" w:color="auto" w:fill="auto"/>
            <w:vAlign w:val="center"/>
          </w:tcPr>
          <w:p w14:paraId="69724FAC">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办公用房、理论教室实训场地面积（10分）</w:t>
            </w:r>
          </w:p>
        </w:tc>
        <w:tc>
          <w:tcPr>
            <w:tcW w:w="8221" w:type="dxa"/>
            <w:shd w:val="clear" w:color="auto" w:fill="auto"/>
            <w:vAlign w:val="center"/>
          </w:tcPr>
          <w:p w14:paraId="61675DF6">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1.自有办公用房、教室及实训场地等达到300平方米以上、符合环保、安全、消防、卫生等有关规定，并出示产权证的得10分，不能出具有效证明的酌情扣分；</w:t>
            </w:r>
          </w:p>
          <w:p w14:paraId="558C9675">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2.自有和租赁办公用房、教室及实训场地等合计达到300平方米以上、符合环保、安全、消防、卫生等有关规定、并出示产权证和租赁合同的得8分，不能出具有效证明的酌情扣分；</w:t>
            </w:r>
          </w:p>
          <w:p w14:paraId="0D74FC85">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3.自有和租赁办公用房、教室及实训场地等300平方米以下，不得分。</w:t>
            </w:r>
          </w:p>
        </w:tc>
        <w:tc>
          <w:tcPr>
            <w:tcW w:w="2410" w:type="dxa"/>
            <w:shd w:val="clear" w:color="auto" w:fill="auto"/>
            <w:vAlign w:val="center"/>
          </w:tcPr>
          <w:p w14:paraId="5C083103">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查阅培训机构提供的产权证或租赁合同（协议）及安全、消防、卫生等相关证照复印件。</w:t>
            </w:r>
          </w:p>
        </w:tc>
        <w:tc>
          <w:tcPr>
            <w:tcW w:w="1276" w:type="dxa"/>
            <w:shd w:val="clear" w:color="auto" w:fill="auto"/>
            <w:vAlign w:val="center"/>
          </w:tcPr>
          <w:p w14:paraId="414D30DB">
            <w:pPr>
              <w:spacing w:after="156" w:afterLines="50"/>
              <w:rPr>
                <w:rFonts w:ascii="Times New Roman" w:hAnsi="Times New Roman" w:eastAsia="宋体" w:cs="Times New Roman"/>
                <w:color w:val="000000" w:themeColor="text1"/>
                <w:szCs w:val="21"/>
                <w14:textFill>
                  <w14:solidFill>
                    <w14:schemeClr w14:val="tx1"/>
                  </w14:solidFill>
                </w14:textFill>
              </w:rPr>
            </w:pPr>
          </w:p>
        </w:tc>
      </w:tr>
      <w:tr w14:paraId="4E0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730" w:type="dxa"/>
            <w:shd w:val="clear" w:color="auto" w:fill="auto"/>
            <w:vAlign w:val="center"/>
          </w:tcPr>
          <w:p w14:paraId="563F3148">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三</w:t>
            </w:r>
          </w:p>
        </w:tc>
        <w:tc>
          <w:tcPr>
            <w:tcW w:w="1363" w:type="dxa"/>
            <w:shd w:val="clear" w:color="auto" w:fill="auto"/>
            <w:vAlign w:val="center"/>
          </w:tcPr>
          <w:p w14:paraId="51528B4B">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管理制度（5分）</w:t>
            </w:r>
          </w:p>
        </w:tc>
        <w:tc>
          <w:tcPr>
            <w:tcW w:w="8221" w:type="dxa"/>
            <w:shd w:val="clear" w:color="auto" w:fill="auto"/>
            <w:vAlign w:val="center"/>
          </w:tcPr>
          <w:p w14:paraId="66B6AAEA">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培训学校有健全、规范的管理制度，能提供培训机构章程、教师管理及聘任制度、财务管理制度、学籍管理制度、学员考核鉴定制度、安全管理制度、档案管理制度、学员考勤管理制度、就业跟踪管理制度、收费公示制度等。以上10项制度每提供1项得0.5分，满分5分。</w:t>
            </w:r>
          </w:p>
        </w:tc>
        <w:tc>
          <w:tcPr>
            <w:tcW w:w="2410" w:type="dxa"/>
            <w:shd w:val="clear" w:color="auto" w:fill="auto"/>
            <w:vAlign w:val="center"/>
          </w:tcPr>
          <w:p w14:paraId="08C7B7B7">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查阅培训机构提交的管理制度及制度上墙照片</w:t>
            </w:r>
          </w:p>
        </w:tc>
        <w:tc>
          <w:tcPr>
            <w:tcW w:w="1276" w:type="dxa"/>
            <w:shd w:val="clear" w:color="auto" w:fill="auto"/>
          </w:tcPr>
          <w:p w14:paraId="70DF9FC0">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4B61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730" w:type="dxa"/>
            <w:shd w:val="clear" w:color="auto" w:fill="auto"/>
            <w:vAlign w:val="center"/>
          </w:tcPr>
          <w:p w14:paraId="02319165">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四</w:t>
            </w:r>
          </w:p>
        </w:tc>
        <w:tc>
          <w:tcPr>
            <w:tcW w:w="1363" w:type="dxa"/>
            <w:shd w:val="clear" w:color="auto" w:fill="auto"/>
            <w:vAlign w:val="center"/>
          </w:tcPr>
          <w:p w14:paraId="42A3771B">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培训工种（10分）</w:t>
            </w:r>
          </w:p>
        </w:tc>
        <w:tc>
          <w:tcPr>
            <w:tcW w:w="8221" w:type="dxa"/>
            <w:shd w:val="clear" w:color="auto" w:fill="auto"/>
            <w:vAlign w:val="center"/>
          </w:tcPr>
          <w:p w14:paraId="141D0F1F">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1.培训机构具有主管部门审批的10（含）个以上工种，得10分；</w:t>
            </w:r>
          </w:p>
          <w:p w14:paraId="39D9C73E">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2.培训机构具有主管部门审批的5-9个工种，得7分；</w:t>
            </w:r>
          </w:p>
          <w:p w14:paraId="72BD6B17">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3.培训机构具有主管部门审批的5（不含）个以下工种，得5分。</w:t>
            </w:r>
          </w:p>
          <w:p w14:paraId="67C23BD4">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（注：不具有创业培训资质的机构不得参与有创业培训和网络创业培训的投标）</w:t>
            </w:r>
          </w:p>
        </w:tc>
        <w:tc>
          <w:tcPr>
            <w:tcW w:w="2410" w:type="dxa"/>
            <w:shd w:val="clear" w:color="auto" w:fill="auto"/>
            <w:vAlign w:val="center"/>
          </w:tcPr>
          <w:p w14:paraId="217E1234">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查阅主管部门资质审批文件及相关证明文件</w:t>
            </w:r>
          </w:p>
        </w:tc>
        <w:tc>
          <w:tcPr>
            <w:tcW w:w="1276" w:type="dxa"/>
            <w:shd w:val="clear" w:color="auto" w:fill="auto"/>
          </w:tcPr>
          <w:p w14:paraId="7C8D14BA">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227E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730" w:type="dxa"/>
            <w:shd w:val="clear" w:color="auto" w:fill="auto"/>
            <w:vAlign w:val="center"/>
          </w:tcPr>
          <w:p w14:paraId="6741C4B6">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五</w:t>
            </w:r>
          </w:p>
        </w:tc>
        <w:tc>
          <w:tcPr>
            <w:tcW w:w="1363" w:type="dxa"/>
            <w:shd w:val="clear" w:color="auto" w:fill="auto"/>
            <w:vAlign w:val="center"/>
          </w:tcPr>
          <w:p w14:paraId="612466C3">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专职教学管理人员数量（10分）</w:t>
            </w:r>
          </w:p>
        </w:tc>
        <w:tc>
          <w:tcPr>
            <w:tcW w:w="8221" w:type="dxa"/>
            <w:shd w:val="clear" w:color="auto" w:fill="auto"/>
            <w:vAlign w:val="center"/>
          </w:tcPr>
          <w:p w14:paraId="4C872F37">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1.配备专职教师或教学管理人员5（含）人以上的，得10分；</w:t>
            </w:r>
          </w:p>
          <w:p w14:paraId="792B2BCA">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2.配备专职教师或教学管理人员3-4人，得8分的；</w:t>
            </w:r>
          </w:p>
          <w:p w14:paraId="083BEA49">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3.配备专职教师或教学管理人员2人及以下的，得6分。</w:t>
            </w:r>
          </w:p>
        </w:tc>
        <w:tc>
          <w:tcPr>
            <w:tcW w:w="2410" w:type="dxa"/>
            <w:shd w:val="clear" w:color="auto" w:fill="auto"/>
            <w:vAlign w:val="center"/>
          </w:tcPr>
          <w:p w14:paraId="7D979668">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查看以上人员参保证明</w:t>
            </w:r>
          </w:p>
        </w:tc>
        <w:tc>
          <w:tcPr>
            <w:tcW w:w="1276" w:type="dxa"/>
            <w:shd w:val="clear" w:color="auto" w:fill="auto"/>
          </w:tcPr>
          <w:p w14:paraId="3B721435">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1F6B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trPr>
        <w:tc>
          <w:tcPr>
            <w:tcW w:w="730" w:type="dxa"/>
            <w:shd w:val="clear" w:color="auto" w:fill="auto"/>
            <w:vAlign w:val="center"/>
          </w:tcPr>
          <w:p w14:paraId="5B044725">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六</w:t>
            </w:r>
          </w:p>
        </w:tc>
        <w:tc>
          <w:tcPr>
            <w:tcW w:w="1363" w:type="dxa"/>
            <w:shd w:val="clear" w:color="auto" w:fill="auto"/>
            <w:vAlign w:val="center"/>
          </w:tcPr>
          <w:p w14:paraId="4E2A43E9">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技能培训、创业培训经历（10分）</w:t>
            </w:r>
          </w:p>
        </w:tc>
        <w:tc>
          <w:tcPr>
            <w:tcW w:w="8221" w:type="dxa"/>
            <w:shd w:val="clear" w:color="auto" w:fill="auto"/>
            <w:vAlign w:val="center"/>
          </w:tcPr>
          <w:p w14:paraId="467C29F2">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熟悉高校毕业生职业技能培训工作，202</w:t>
            </w:r>
            <w:r>
              <w:rPr>
                <w:rFonts w:hint="eastAsia" w:ascii="Times New Roman" w:hAnsi="Times New Roman" w:cs="Times New Roman"/>
                <w:color w:val="000000" w:themeColor="text1"/>
                <w:szCs w:val="21"/>
                <w:lang w:val="en-US" w:eastAsia="zh-CN"/>
                <w14:textFill>
                  <w14:solidFill>
                    <w14:schemeClr w14:val="tx1"/>
                  </w14:solidFill>
                </w14:textFill>
              </w:rPr>
              <w:t>3</w:t>
            </w:r>
            <w:r>
              <w:rPr>
                <w:rFonts w:ascii="Times New Roman" w:hAnsi="Times New Roman" w:cs="Times New Roman"/>
                <w:color w:val="000000" w:themeColor="text1"/>
                <w:szCs w:val="21"/>
                <w14:textFill>
                  <w14:solidFill>
                    <w14:schemeClr w14:val="tx1"/>
                  </w14:solidFill>
                </w14:textFill>
              </w:rPr>
              <w:t>年以来承担各级人力资源和社会保障部门职业技能培训、创业培训、求职能力培训，鉴定合格率在</w:t>
            </w:r>
            <w:r>
              <w:rPr>
                <w:rFonts w:hint="eastAsia" w:ascii="Times New Roman" w:hAnsi="Times New Roman" w:cs="Times New Roman"/>
                <w:color w:val="000000" w:themeColor="text1"/>
                <w:szCs w:val="21"/>
                <w:lang w:val="en-US" w:eastAsia="zh-CN"/>
                <w14:textFill>
                  <w14:solidFill>
                    <w14:schemeClr w14:val="tx1"/>
                  </w14:solidFill>
                </w14:textFill>
              </w:rPr>
              <w:t>80</w:t>
            </w:r>
            <w:r>
              <w:rPr>
                <w:rFonts w:ascii="Times New Roman" w:hAnsi="Times New Roman" w:cs="Times New Roman"/>
                <w:color w:val="000000" w:themeColor="text1"/>
                <w:szCs w:val="21"/>
                <w14:textFill>
                  <w14:solidFill>
                    <w14:schemeClr w14:val="tx1"/>
                  </w14:solidFill>
                </w14:textFill>
              </w:rPr>
              <w:t>%以上。</w:t>
            </w:r>
          </w:p>
          <w:p w14:paraId="3B81227C">
            <w:pP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1.累计培训合格总人数在501人以上，得10分；</w:t>
            </w:r>
          </w:p>
          <w:p w14:paraId="7464C9EF">
            <w:pP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2.累计培训合格总人数在201-500人，得</w:t>
            </w:r>
            <w:r>
              <w:rPr>
                <w:rFonts w:hint="eastAsia" w:ascii="Times New Roman" w:hAnsi="Times New Roman" w:cs="Times New Roman"/>
                <w:color w:val="000000" w:themeColor="text1"/>
                <w:szCs w:val="21"/>
                <w:lang w:val="en-US" w:eastAsia="zh-CN"/>
                <w14:textFill>
                  <w14:solidFill>
                    <w14:schemeClr w14:val="tx1"/>
                  </w14:solidFill>
                </w14:textFill>
              </w:rPr>
              <w:t>7</w:t>
            </w:r>
            <w:r>
              <w:rPr>
                <w:rFonts w:hint="eastAsia" w:ascii="Times New Roman" w:hAnsi="Times New Roman" w:cs="Times New Roman"/>
                <w:color w:val="000000" w:themeColor="text1"/>
                <w:szCs w:val="21"/>
                <w14:textFill>
                  <w14:solidFill>
                    <w14:schemeClr w14:val="tx1"/>
                  </w14:solidFill>
                </w14:textFill>
              </w:rPr>
              <w:t>分；</w:t>
            </w:r>
          </w:p>
          <w:p w14:paraId="593E0F80">
            <w:pP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3.累计培训合格总人数在101-200人，得</w:t>
            </w:r>
            <w:r>
              <w:rPr>
                <w:rFonts w:hint="eastAsia" w:ascii="Times New Roman" w:hAnsi="Times New Roman" w:cs="Times New Roman"/>
                <w:color w:val="000000" w:themeColor="text1"/>
                <w:szCs w:val="21"/>
                <w:lang w:val="en-US" w:eastAsia="zh-CN"/>
                <w14:textFill>
                  <w14:solidFill>
                    <w14:schemeClr w14:val="tx1"/>
                  </w14:solidFill>
                </w14:textFill>
              </w:rPr>
              <w:t>4</w:t>
            </w:r>
            <w:r>
              <w:rPr>
                <w:rFonts w:hint="eastAsia" w:ascii="Times New Roman" w:hAnsi="Times New Roman" w:cs="Times New Roman"/>
                <w:color w:val="000000" w:themeColor="text1"/>
                <w:szCs w:val="21"/>
                <w14:textFill>
                  <w14:solidFill>
                    <w14:schemeClr w14:val="tx1"/>
                  </w14:solidFill>
                </w14:textFill>
              </w:rPr>
              <w:t>分；</w:t>
            </w:r>
          </w:p>
          <w:p w14:paraId="0E7567EB">
            <w:pPr>
              <w:rPr>
                <w:rFonts w:hint="eastAsia"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14:textFill>
                  <w14:solidFill>
                    <w14:schemeClr w14:val="tx1"/>
                  </w14:solidFill>
                </w14:textFill>
              </w:rPr>
              <w:t>4.低于100人或鉴定合格率低于</w:t>
            </w:r>
            <w:r>
              <w:rPr>
                <w:rFonts w:hint="eastAsia" w:ascii="Times New Roman" w:hAnsi="Times New Roman" w:cs="Times New Roman"/>
                <w:color w:val="000000" w:themeColor="text1"/>
                <w:szCs w:val="21"/>
                <w:lang w:val="en-US" w:eastAsia="zh-CN"/>
                <w14:textFill>
                  <w14:solidFill>
                    <w14:schemeClr w14:val="tx1"/>
                  </w14:solidFill>
                </w14:textFill>
              </w:rPr>
              <w:t>80</w:t>
            </w:r>
            <w:r>
              <w:rPr>
                <w:rFonts w:hint="eastAsia" w:ascii="Times New Roman" w:hAnsi="Times New Roman" w:cs="Times New Roman"/>
                <w:color w:val="000000" w:themeColor="text1"/>
                <w:szCs w:val="21"/>
                <w14:textFill>
                  <w14:solidFill>
                    <w14:schemeClr w14:val="tx1"/>
                  </w14:solidFill>
                </w14:textFill>
              </w:rPr>
              <w:t>%的，得1-</w:t>
            </w:r>
            <w:r>
              <w:rPr>
                <w:rFonts w:hint="eastAsia" w:ascii="Times New Roman" w:hAnsi="Times New Roman" w:cs="Times New Roman"/>
                <w:color w:val="000000" w:themeColor="text1"/>
                <w:szCs w:val="21"/>
                <w:lang w:val="en-US" w:eastAsia="zh-CN"/>
                <w14:textFill>
                  <w14:solidFill>
                    <w14:schemeClr w14:val="tx1"/>
                  </w14:solidFill>
                </w14:textFill>
              </w:rPr>
              <w:t>3</w:t>
            </w:r>
            <w:r>
              <w:rPr>
                <w:rFonts w:hint="eastAsia" w:ascii="Times New Roman" w:hAnsi="Times New Roman" w:cs="Times New Roman"/>
                <w:color w:val="000000" w:themeColor="text1"/>
                <w:szCs w:val="21"/>
                <w14:textFill>
                  <w14:solidFill>
                    <w14:schemeClr w14:val="tx1"/>
                  </w14:solidFill>
                </w14:textFill>
              </w:rPr>
              <w:t>分。</w:t>
            </w:r>
          </w:p>
          <w:p w14:paraId="7F8BCCEA">
            <w:pPr>
              <w:rPr>
                <w:rFonts w:ascii="Times New Roman" w:hAnsi="Times New Roman" w:cs="Times New Roman"/>
                <w:color w:val="000000" w:themeColor="text1"/>
                <w:szCs w:val="21"/>
                <w14:textFill>
                  <w14:solidFill>
                    <w14:schemeClr w14:val="tx1"/>
                  </w14:solidFill>
                </w14:textFill>
              </w:rPr>
            </w:pPr>
          </w:p>
        </w:tc>
        <w:tc>
          <w:tcPr>
            <w:tcW w:w="2410" w:type="dxa"/>
            <w:shd w:val="clear" w:color="auto" w:fill="auto"/>
            <w:vAlign w:val="center"/>
          </w:tcPr>
          <w:p w14:paraId="01D0E7C0">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查阅由各县（市、区）就业部门盖章认可的技能培训证明材料（内容含培训时间、地点、工种、人数、就业重点群体人员类别、技能鉴定合格人数等）</w:t>
            </w:r>
          </w:p>
        </w:tc>
        <w:tc>
          <w:tcPr>
            <w:tcW w:w="1276" w:type="dxa"/>
            <w:shd w:val="clear" w:color="auto" w:fill="auto"/>
          </w:tcPr>
          <w:p w14:paraId="4657552A">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133C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trPr>
        <w:tc>
          <w:tcPr>
            <w:tcW w:w="730" w:type="dxa"/>
            <w:shd w:val="clear" w:color="auto" w:fill="auto"/>
            <w:vAlign w:val="center"/>
          </w:tcPr>
          <w:p w14:paraId="696E0364">
            <w:pPr>
              <w:spacing w:after="156" w:afterLines="50"/>
              <w:jc w:val="cente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七</w:t>
            </w:r>
          </w:p>
        </w:tc>
        <w:tc>
          <w:tcPr>
            <w:tcW w:w="1363" w:type="dxa"/>
            <w:shd w:val="clear" w:color="auto" w:fill="auto"/>
            <w:vAlign w:val="center"/>
          </w:tcPr>
          <w:p w14:paraId="3C850046">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教学实训主要设备数量（10分）</w:t>
            </w:r>
          </w:p>
        </w:tc>
        <w:tc>
          <w:tcPr>
            <w:tcW w:w="8221" w:type="dxa"/>
            <w:shd w:val="clear" w:color="auto" w:fill="auto"/>
            <w:vAlign w:val="center"/>
          </w:tcPr>
          <w:p w14:paraId="55685B50">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具备高校拟培训工种职业技能等级允许专业（工种）培训教学所需的教学和实操设备，每个工种实训设备。</w:t>
            </w:r>
          </w:p>
          <w:p w14:paraId="1F83FCC2">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1.达到25套（含）以上，得10分；</w:t>
            </w:r>
          </w:p>
          <w:p w14:paraId="25845926">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2.达到10-24（含）套，得7分；</w:t>
            </w:r>
          </w:p>
          <w:p w14:paraId="615CC2E5">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3.达到5-9（含）套，得5分；</w:t>
            </w:r>
          </w:p>
          <w:p w14:paraId="3EADBEF5">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4.低于5套(不含)不得分。</w:t>
            </w:r>
          </w:p>
        </w:tc>
        <w:tc>
          <w:tcPr>
            <w:tcW w:w="2410" w:type="dxa"/>
            <w:shd w:val="clear" w:color="auto" w:fill="auto"/>
            <w:vAlign w:val="center"/>
          </w:tcPr>
          <w:p w14:paraId="2A8388D5">
            <w:pPr>
              <w:rPr>
                <w:rFonts w:ascii="Times New Roman" w:hAnsi="Times New Roman" w:cs="Times New Roman"/>
                <w:b/>
                <w:color w:val="000000" w:themeColor="text1"/>
                <w:szCs w:val="21"/>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查阅培训机构提交培训工种主要设备清单、实物照片及购置设施设备的发票、固定资产年报。设备学员与教具配比不低于 5:1，大型设备（如起重装卸机械）配比不低于 20:1的标准进行评审</w:t>
            </w:r>
          </w:p>
        </w:tc>
        <w:tc>
          <w:tcPr>
            <w:tcW w:w="1276" w:type="dxa"/>
            <w:shd w:val="clear" w:color="auto" w:fill="auto"/>
          </w:tcPr>
          <w:p w14:paraId="13252654">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4EDF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730" w:type="dxa"/>
            <w:shd w:val="clear" w:color="auto" w:fill="auto"/>
            <w:vAlign w:val="center"/>
          </w:tcPr>
          <w:p w14:paraId="03E157E8">
            <w:pPr>
              <w:spacing w:after="156" w:afterLines="50"/>
              <w:jc w:val="center"/>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八</w:t>
            </w:r>
          </w:p>
        </w:tc>
        <w:tc>
          <w:tcPr>
            <w:tcW w:w="1363" w:type="dxa"/>
            <w:shd w:val="clear" w:color="auto" w:fill="auto"/>
            <w:vAlign w:val="center"/>
          </w:tcPr>
          <w:p w14:paraId="58125B78">
            <w:pP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Times New Roman" w:hAnsi="Times New Roman" w:cs="Times New Roman"/>
                <w:color w:val="000000" w:themeColor="text1"/>
                <w:szCs w:val="21"/>
                <w:lang w:val="en-US" w:eastAsia="zh-CN"/>
                <w14:textFill>
                  <w14:solidFill>
                    <w14:schemeClr w14:val="tx1"/>
                  </w14:solidFill>
                </w14:textFill>
              </w:rPr>
              <w:t>培训教学计划、大纲和教材</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分）</w:t>
            </w:r>
          </w:p>
        </w:tc>
        <w:tc>
          <w:tcPr>
            <w:tcW w:w="8221" w:type="dxa"/>
            <w:shd w:val="clear" w:color="auto" w:fill="auto"/>
            <w:vAlign w:val="center"/>
          </w:tcPr>
          <w:p w14:paraId="764C600E">
            <w:pPr>
              <w:spacing w:line="360" w:lineRule="auto"/>
              <w:rPr>
                <w:rFonts w:hint="eastAsia" w:ascii="宋体" w:hAnsi="宋体"/>
                <w:szCs w:val="21"/>
              </w:rPr>
            </w:pPr>
            <w:r>
              <w:rPr>
                <w:rFonts w:hint="eastAsia" w:ascii="Times New Roman" w:hAnsi="Times New Roman" w:cs="Times New Roman"/>
                <w:color w:val="000000" w:themeColor="text1"/>
                <w:szCs w:val="21"/>
                <w:lang w:val="en-US" w:eastAsia="zh-CN"/>
                <w14:textFill>
                  <w14:solidFill>
                    <w14:schemeClr w14:val="tx1"/>
                  </w14:solidFill>
                </w14:textFill>
              </w:rPr>
              <w:t>1.</w:t>
            </w:r>
            <w:r>
              <w:rPr>
                <w:rFonts w:ascii="Times New Roman" w:hAnsi="Times New Roman" w:cs="Times New Roman"/>
                <w:color w:val="000000" w:themeColor="text1"/>
                <w:szCs w:val="21"/>
                <w14:textFill>
                  <w14:solidFill>
                    <w14:schemeClr w14:val="tx1"/>
                  </w14:solidFill>
                </w14:textFill>
              </w:rPr>
              <w:t>高校拟培训</w:t>
            </w:r>
            <w:r>
              <w:rPr>
                <w:rFonts w:hint="eastAsia" w:ascii="Times New Roman" w:hAnsi="Times New Roman" w:cs="Times New Roman"/>
                <w:color w:val="000000" w:themeColor="text1"/>
                <w:szCs w:val="21"/>
                <w:lang w:val="en-US" w:eastAsia="zh-CN"/>
                <w14:textFill>
                  <w14:solidFill>
                    <w14:schemeClr w14:val="tx1"/>
                  </w14:solidFill>
                </w14:textFill>
              </w:rPr>
              <w:t>的</w:t>
            </w:r>
            <w:r>
              <w:rPr>
                <w:rFonts w:hint="eastAsia" w:ascii="宋体" w:hAnsi="宋体"/>
                <w:szCs w:val="21"/>
              </w:rPr>
              <w:t>专业（工种）的教学计划、大纲和教材应符合国家职业标准，培训内容要符合市场需求，具有针对性和实用性，得5分；</w:t>
            </w:r>
          </w:p>
          <w:p w14:paraId="475F00CD">
            <w:pPr>
              <w:spacing w:line="360" w:lineRule="auto"/>
              <w:rPr>
                <w:rFonts w:hint="eastAsia" w:ascii="Times New Roman" w:hAnsi="Times New Roman" w:cs="Times New Roman" w:eastAsiaTheme="minorEastAsia"/>
                <w:color w:val="000000" w:themeColor="text1"/>
                <w:szCs w:val="21"/>
                <w:lang w:val="en-US" w:eastAsia="zh-CN"/>
                <w14:textFill>
                  <w14:solidFill>
                    <w14:schemeClr w14:val="tx1"/>
                  </w14:solidFill>
                </w14:textFill>
              </w:rPr>
            </w:pPr>
            <w:r>
              <w:rPr>
                <w:rFonts w:hint="eastAsia" w:ascii="宋体" w:hAnsi="宋体"/>
                <w:szCs w:val="21"/>
              </w:rPr>
              <w:t>2.</w:t>
            </w:r>
            <w:r>
              <w:rPr>
                <w:rFonts w:ascii="Times New Roman" w:hAnsi="Times New Roman" w:cs="Times New Roman"/>
                <w:color w:val="000000" w:themeColor="text1"/>
                <w:szCs w:val="21"/>
                <w14:textFill>
                  <w14:solidFill>
                    <w14:schemeClr w14:val="tx1"/>
                  </w14:solidFill>
                </w14:textFill>
              </w:rPr>
              <w:t>高校拟培训</w:t>
            </w:r>
            <w:r>
              <w:rPr>
                <w:rFonts w:hint="eastAsia" w:ascii="Times New Roman" w:hAnsi="Times New Roman" w:cs="Times New Roman"/>
                <w:color w:val="000000" w:themeColor="text1"/>
                <w:szCs w:val="21"/>
                <w:lang w:val="en-US" w:eastAsia="zh-CN"/>
                <w14:textFill>
                  <w14:solidFill>
                    <w14:schemeClr w14:val="tx1"/>
                  </w14:solidFill>
                </w14:textFill>
              </w:rPr>
              <w:t>的</w:t>
            </w:r>
            <w:r>
              <w:rPr>
                <w:rFonts w:hint="eastAsia" w:ascii="宋体" w:hAnsi="宋体"/>
                <w:szCs w:val="21"/>
              </w:rPr>
              <w:t>专业（工种）的教学计划、大纲和教材不符合国家职业标准，不得分。</w:t>
            </w:r>
          </w:p>
        </w:tc>
        <w:tc>
          <w:tcPr>
            <w:tcW w:w="2410" w:type="dxa"/>
            <w:shd w:val="clear" w:color="auto" w:fill="auto"/>
            <w:vAlign w:val="center"/>
          </w:tcPr>
          <w:p w14:paraId="14014526">
            <w:pPr>
              <w:rPr>
                <w:rFonts w:ascii="Times New Roman" w:hAnsi="Times New Roman" w:cs="Times New Roman"/>
                <w:b/>
                <w:color w:val="000000" w:themeColor="text1"/>
                <w:szCs w:val="21"/>
                <w14:textFill>
                  <w14:solidFill>
                    <w14:schemeClr w14:val="tx1"/>
                  </w14:solidFill>
                </w14:textFill>
              </w:rPr>
            </w:pPr>
            <w:r>
              <w:rPr>
                <w:rFonts w:hint="eastAsia" w:ascii="宋体" w:hAnsi="宋体"/>
                <w:b/>
                <w:szCs w:val="21"/>
              </w:rPr>
              <w:t>评审方式：（查阅例如：</w:t>
            </w:r>
            <w:r>
              <w:rPr>
                <w:rFonts w:hint="eastAsia" w:ascii="宋体" w:hAnsi="宋体"/>
                <w:b/>
                <w:szCs w:val="21"/>
                <w:lang w:val="en-US" w:eastAsia="zh-CN"/>
              </w:rPr>
              <w:t>SYB、网络</w:t>
            </w:r>
            <w:r>
              <w:rPr>
                <w:rFonts w:hint="eastAsia" w:ascii="宋体" w:hAnsi="宋体"/>
                <w:b/>
                <w:szCs w:val="21"/>
              </w:rPr>
              <w:t>创业培训）中选</w:t>
            </w:r>
            <w:r>
              <w:rPr>
                <w:rFonts w:hint="eastAsia" w:ascii="宋体" w:hAnsi="宋体"/>
                <w:b/>
                <w:szCs w:val="21"/>
                <w:lang w:val="en-US" w:eastAsia="zh-CN"/>
              </w:rPr>
              <w:t>取</w:t>
            </w:r>
            <w:r>
              <w:rPr>
                <w:rFonts w:hint="eastAsia" w:ascii="宋体" w:hAnsi="宋体"/>
                <w:b/>
                <w:szCs w:val="21"/>
              </w:rPr>
              <w:t>2个工种的教学计划、大纲和教材。</w:t>
            </w:r>
          </w:p>
        </w:tc>
        <w:tc>
          <w:tcPr>
            <w:tcW w:w="1276" w:type="dxa"/>
            <w:shd w:val="clear" w:color="auto" w:fill="auto"/>
          </w:tcPr>
          <w:p w14:paraId="0FC68B6A">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5283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7" w:hRule="atLeast"/>
        </w:trPr>
        <w:tc>
          <w:tcPr>
            <w:tcW w:w="730" w:type="dxa"/>
            <w:shd w:val="clear" w:color="auto" w:fill="auto"/>
            <w:vAlign w:val="center"/>
          </w:tcPr>
          <w:p w14:paraId="5F433892">
            <w:pPr>
              <w:spacing w:after="156" w:afterLines="5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九</w:t>
            </w:r>
          </w:p>
        </w:tc>
        <w:tc>
          <w:tcPr>
            <w:tcW w:w="1363" w:type="dxa"/>
            <w:shd w:val="clear" w:color="auto" w:fill="auto"/>
            <w:vAlign w:val="center"/>
          </w:tcPr>
          <w:p w14:paraId="150115EC">
            <w:pPr>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招生组织方案和培训方案</w:t>
            </w:r>
          </w:p>
          <w:p w14:paraId="02D57142">
            <w:pPr>
              <w:rPr>
                <w:rFonts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lang w:val="en-US" w:eastAsia="zh-CN"/>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分）</w:t>
            </w:r>
          </w:p>
        </w:tc>
        <w:tc>
          <w:tcPr>
            <w:tcW w:w="8221" w:type="dxa"/>
            <w:shd w:val="clear" w:color="auto" w:fill="auto"/>
            <w:vAlign w:val="center"/>
          </w:tcPr>
          <w:p w14:paraId="643F3E06">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招生组织方案内容完整、详细全面、科学合理、切实可行，保障措施针对性强；培训方案优于招标文件要求，描述完整，内容合理，可行性强、针对性突出、保障措施内容具体全面、培训过程规范考虑全面的，得</w:t>
            </w:r>
            <w:r>
              <w:rPr>
                <w:rFonts w:hint="eastAsia" w:ascii="Times New Roman" w:hAnsi="Times New Roman" w:cs="Times New Roman"/>
                <w:color w:val="000000" w:themeColor="text1"/>
                <w:szCs w:val="21"/>
                <w:lang w:val="en-US" w:eastAsia="zh-CN"/>
                <w14:textFill>
                  <w14:solidFill>
                    <w14:schemeClr w14:val="tx1"/>
                  </w14:solidFill>
                </w14:textFill>
              </w:rPr>
              <w:t>10</w:t>
            </w:r>
            <w:r>
              <w:rPr>
                <w:rFonts w:ascii="Times New Roman" w:hAnsi="Times New Roman" w:cs="Times New Roman"/>
                <w:color w:val="000000" w:themeColor="text1"/>
                <w:szCs w:val="21"/>
                <w14:textFill>
                  <w14:solidFill>
                    <w14:schemeClr w14:val="tx1"/>
                  </w14:solidFill>
                </w14:textFill>
              </w:rPr>
              <w:t>-1</w:t>
            </w:r>
            <w:r>
              <w:rPr>
                <w:rFonts w:hint="eastAsia" w:ascii="Times New Roman" w:hAnsi="Times New Roman" w:cs="Times New Roman"/>
                <w:color w:val="000000" w:themeColor="text1"/>
                <w:szCs w:val="21"/>
                <w:lang w:val="en-US" w:eastAsia="zh-CN"/>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分；</w:t>
            </w:r>
          </w:p>
          <w:p w14:paraId="0C5F2061">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2.招生组织方案内容完整、科学合理，保障措施针对性一般的；培训方案描述较完整，内容较合理，针对性较强，得</w:t>
            </w:r>
            <w:r>
              <w:rPr>
                <w:rFonts w:hint="eastAsia" w:ascii="Times New Roman" w:hAnsi="Times New Roman" w:cs="Times New Roman"/>
                <w:color w:val="000000" w:themeColor="text1"/>
                <w:szCs w:val="21"/>
                <w:lang w:val="en-US" w:eastAsia="zh-CN"/>
                <w14:textFill>
                  <w14:solidFill>
                    <w14:schemeClr w14:val="tx1"/>
                  </w14:solidFill>
                </w14:textFill>
              </w:rPr>
              <w:t>6</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10</w:t>
            </w:r>
            <w:r>
              <w:rPr>
                <w:rFonts w:ascii="Times New Roman" w:hAnsi="Times New Roman" w:cs="Times New Roman"/>
                <w:color w:val="000000" w:themeColor="text1"/>
                <w:szCs w:val="21"/>
                <w14:textFill>
                  <w14:solidFill>
                    <w14:schemeClr w14:val="tx1"/>
                  </w14:solidFill>
                </w14:textFill>
              </w:rPr>
              <w:t>分；</w:t>
            </w:r>
          </w:p>
          <w:p w14:paraId="325AD875">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3.招生组织方案内容不完整、不够科学合理，保障措施针对性不强；培训方案基本满足招标文件要求，描述基本完整，内容基本合理，有一定针对性，得</w:t>
            </w:r>
            <w:r>
              <w:rPr>
                <w:rFonts w:hint="eastAsia" w:ascii="Times New Roman" w:hAnsi="Times New Roman" w:cs="Times New Roman"/>
                <w:color w:val="000000" w:themeColor="text1"/>
                <w:szCs w:val="21"/>
                <w:lang w:val="en-US" w:eastAsia="zh-CN"/>
                <w14:textFill>
                  <w14:solidFill>
                    <w14:schemeClr w14:val="tx1"/>
                  </w14:solidFill>
                </w14:textFill>
              </w:rPr>
              <w:t>3</w:t>
            </w:r>
            <w:r>
              <w:rPr>
                <w:rFonts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5</w:t>
            </w:r>
            <w:r>
              <w:rPr>
                <w:rFonts w:ascii="Times New Roman" w:hAnsi="Times New Roman" w:cs="Times New Roman"/>
                <w:color w:val="000000" w:themeColor="text1"/>
                <w:szCs w:val="21"/>
                <w14:textFill>
                  <w14:solidFill>
                    <w14:schemeClr w14:val="tx1"/>
                  </w14:solidFill>
                </w14:textFill>
              </w:rPr>
              <w:t>分；</w:t>
            </w:r>
          </w:p>
          <w:p w14:paraId="38B828D2">
            <w:pPr>
              <w:rPr>
                <w:rFonts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4.未提供招生组织方案、培训实施方案或保障措施，不得分。</w:t>
            </w:r>
          </w:p>
        </w:tc>
        <w:tc>
          <w:tcPr>
            <w:tcW w:w="2410" w:type="dxa"/>
            <w:shd w:val="clear" w:color="auto" w:fill="auto"/>
            <w:vAlign w:val="center"/>
          </w:tcPr>
          <w:p w14:paraId="18A0321A">
            <w:pPr>
              <w:rPr>
                <w:rFonts w:ascii="Times New Roman" w:hAnsi="Times New Roman" w:cs="Times New Roman" w:eastAsiaTheme="minorEastAsia"/>
                <w:b/>
                <w:color w:val="000000" w:themeColor="text1"/>
                <w:kern w:val="2"/>
                <w:sz w:val="21"/>
                <w:szCs w:val="21"/>
                <w:lang w:val="en-US" w:eastAsia="zh-CN" w:bidi="ar-SA"/>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查阅培训实施方案涵盖符合高校职业技能所需任意2个工种；查阅获奖证书及照片</w:t>
            </w:r>
          </w:p>
        </w:tc>
        <w:tc>
          <w:tcPr>
            <w:tcW w:w="1276" w:type="dxa"/>
            <w:shd w:val="clear" w:color="auto" w:fill="auto"/>
          </w:tcPr>
          <w:p w14:paraId="54AED73A">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650C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9" w:hRule="atLeast"/>
        </w:trPr>
        <w:tc>
          <w:tcPr>
            <w:tcW w:w="730" w:type="dxa"/>
            <w:shd w:val="clear" w:color="auto" w:fill="auto"/>
            <w:vAlign w:val="center"/>
          </w:tcPr>
          <w:p w14:paraId="2C011221">
            <w:pPr>
              <w:spacing w:after="156" w:afterLines="5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十</w:t>
            </w:r>
          </w:p>
        </w:tc>
        <w:tc>
          <w:tcPr>
            <w:tcW w:w="1363" w:type="dxa"/>
            <w:shd w:val="clear" w:color="auto" w:fill="auto"/>
            <w:vAlign w:val="center"/>
          </w:tcPr>
          <w:p w14:paraId="6F00E4D9">
            <w:pPr>
              <w:jc w:val="center"/>
              <w:rPr>
                <w:rFonts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培训促</w:t>
            </w:r>
            <w:bookmarkStart w:id="0" w:name="_GoBack"/>
            <w:bookmarkEnd w:id="0"/>
            <w:r>
              <w:rPr>
                <w:rFonts w:ascii="Times New Roman" w:hAnsi="Times New Roman" w:cs="Times New Roman"/>
                <w:color w:val="000000" w:themeColor="text1"/>
                <w:szCs w:val="21"/>
                <w14:textFill>
                  <w14:solidFill>
                    <w14:schemeClr w14:val="tx1"/>
                  </w14:solidFill>
                </w14:textFill>
              </w:rPr>
              <w:t>进就业效果和服务质量承诺、保证措施及违约处罚措施（</w:t>
            </w:r>
            <w:r>
              <w:rPr>
                <w:rFonts w:hint="eastAsia" w:ascii="Times New Roman" w:hAnsi="Times New Roman" w:cs="Times New Roman"/>
                <w:color w:val="000000" w:themeColor="text1"/>
                <w:szCs w:val="21"/>
                <w:lang w:val="en-US" w:eastAsia="zh-CN"/>
                <w14:textFill>
                  <w14:solidFill>
                    <w14:schemeClr w14:val="tx1"/>
                  </w14:solidFill>
                </w14:textFill>
              </w:rPr>
              <w:t>15</w:t>
            </w:r>
            <w:r>
              <w:rPr>
                <w:rFonts w:ascii="Times New Roman" w:hAnsi="Times New Roman" w:cs="Times New Roman"/>
                <w:color w:val="000000" w:themeColor="text1"/>
                <w:szCs w:val="21"/>
                <w14:textFill>
                  <w14:solidFill>
                    <w14:schemeClr w14:val="tx1"/>
                  </w14:solidFill>
                </w14:textFill>
              </w:rPr>
              <w:t>分）</w:t>
            </w:r>
          </w:p>
        </w:tc>
        <w:tc>
          <w:tcPr>
            <w:tcW w:w="8221" w:type="dxa"/>
            <w:shd w:val="clear" w:color="auto" w:fill="auto"/>
            <w:vAlign w:val="center"/>
          </w:tcPr>
          <w:p w14:paraId="59E3F850">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有相对稳定的就业渠道，并与人力资源公司、用工企业、职业介绍机构开展劳务合作，在培训过程中是否通过招聘会、发布岗位信息、邀请用人单位现场招聘等方式主动为培训学员推荐就业岗位，促进培训学员及时就业，并做好相关服务措施。</w:t>
            </w:r>
          </w:p>
          <w:p w14:paraId="2A00EFDA">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1.提供5家单位（包括用工企业、人力资源公司）存在劳务合作关系证明材料。不能出具有效证明，酌情扣1-5分；</w:t>
            </w:r>
          </w:p>
          <w:p w14:paraId="030C880B">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2.培训过程中，培训机构通过推荐岗位信息、邀请用人单位现场招聘等方式主动为培训学员推荐就业岗位，促进培训学员及时就业。不能出具有效证明的，酌情扣1-5分；</w:t>
            </w:r>
          </w:p>
          <w:p w14:paraId="2F1DE47C">
            <w:pP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3.培训结束后，认真落实就业跟踪管理服务制度，继续为培训学员提供就业、发证、回访等后续跟踪服务，不能出具有效证明的，酌情扣1-10分；</w:t>
            </w:r>
          </w:p>
          <w:p w14:paraId="047B467D">
            <w:pPr>
              <w:rPr>
                <w:rFonts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4.未提供培训后就业跟踪管理服务、服务质量承诺、保证措施及违约处罚措施等，该项不得分。</w:t>
            </w:r>
          </w:p>
        </w:tc>
        <w:tc>
          <w:tcPr>
            <w:tcW w:w="2410" w:type="dxa"/>
            <w:shd w:val="clear" w:color="auto" w:fill="auto"/>
            <w:vAlign w:val="center"/>
          </w:tcPr>
          <w:p w14:paraId="07247EEE">
            <w:pPr>
              <w:rPr>
                <w:rFonts w:ascii="Times New Roman" w:hAnsi="Times New Roman" w:cs="Times New Roman" w:eastAsiaTheme="minorEastAsia"/>
                <w:b/>
                <w:color w:val="000000" w:themeColor="text1"/>
                <w:kern w:val="2"/>
                <w:sz w:val="21"/>
                <w:szCs w:val="21"/>
                <w:lang w:val="en-US" w:eastAsia="zh-CN" w:bidi="ar-SA"/>
                <w14:textFill>
                  <w14:solidFill>
                    <w14:schemeClr w14:val="tx1"/>
                  </w14:solidFill>
                </w14:textFill>
              </w:rPr>
            </w:pPr>
            <w:r>
              <w:rPr>
                <w:rFonts w:ascii="Times New Roman" w:hAnsi="Times New Roman" w:cs="Times New Roman"/>
                <w:b/>
                <w:color w:val="000000" w:themeColor="text1"/>
                <w:szCs w:val="21"/>
                <w14:textFill>
                  <w14:solidFill>
                    <w14:schemeClr w14:val="tx1"/>
                  </w14:solidFill>
                </w14:textFill>
              </w:rPr>
              <w:t>查阅投标人与人力资源机构、用工企业、职业介绍机构等单位开展与培训工种相对应的劳务合作协议、劳务合作单位的法定代表人身份证复印件、劳务合作单位的就业岗位真实性承诺书、劳务合作单位营业执照扫描件、工作照片等资料。</w:t>
            </w:r>
          </w:p>
        </w:tc>
        <w:tc>
          <w:tcPr>
            <w:tcW w:w="1276" w:type="dxa"/>
            <w:shd w:val="clear" w:color="auto" w:fill="auto"/>
          </w:tcPr>
          <w:p w14:paraId="7429F9E9">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6AD8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2724" w:type="dxa"/>
            <w:gridSpan w:val="4"/>
            <w:shd w:val="clear" w:color="auto" w:fill="auto"/>
            <w:vAlign w:val="center"/>
          </w:tcPr>
          <w:p w14:paraId="46CDBE0F">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合计</w:t>
            </w:r>
          </w:p>
        </w:tc>
        <w:tc>
          <w:tcPr>
            <w:tcW w:w="1276" w:type="dxa"/>
            <w:shd w:val="clear" w:color="auto" w:fill="auto"/>
          </w:tcPr>
          <w:p w14:paraId="5E0116E5">
            <w:pPr>
              <w:spacing w:after="156" w:afterLines="50"/>
              <w:jc w:val="both"/>
              <w:rPr>
                <w:rFonts w:ascii="Times New Roman" w:hAnsi="Times New Roman" w:eastAsia="宋体" w:cs="Times New Roman"/>
                <w:color w:val="000000" w:themeColor="text1"/>
                <w:szCs w:val="21"/>
                <w14:textFill>
                  <w14:solidFill>
                    <w14:schemeClr w14:val="tx1"/>
                  </w14:solidFill>
                </w14:textFill>
              </w:rPr>
            </w:pPr>
          </w:p>
        </w:tc>
      </w:tr>
      <w:tr w14:paraId="6ABA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0314" w:type="dxa"/>
            <w:gridSpan w:val="3"/>
            <w:shd w:val="clear" w:color="auto" w:fill="auto"/>
            <w:vAlign w:val="center"/>
          </w:tcPr>
          <w:p w14:paraId="04376C3A">
            <w:pPr>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评审人：</w:t>
            </w:r>
          </w:p>
        </w:tc>
        <w:tc>
          <w:tcPr>
            <w:tcW w:w="3686" w:type="dxa"/>
            <w:gridSpan w:val="2"/>
            <w:shd w:val="clear" w:color="auto" w:fill="auto"/>
            <w:vAlign w:val="center"/>
          </w:tcPr>
          <w:p w14:paraId="5D3F9169">
            <w:pPr>
              <w:spacing w:after="156" w:afterLines="50"/>
              <w:jc w:val="both"/>
              <w:rPr>
                <w:rFonts w:ascii="Times New Roman" w:hAnsi="Times New Roman" w:eastAsia="宋体" w:cs="Times New Roman"/>
                <w:color w:val="000000" w:themeColor="text1"/>
                <w:szCs w:val="21"/>
                <w14:textFill>
                  <w14:solidFill>
                    <w14:schemeClr w14:val="tx1"/>
                  </w14:solidFill>
                </w14:textFill>
              </w:rPr>
            </w:pPr>
            <w:r>
              <w:rPr>
                <w:rFonts w:ascii="Times New Roman" w:hAnsi="Times New Roman" w:eastAsia="宋体" w:cs="Times New Roman"/>
                <w:color w:val="000000" w:themeColor="text1"/>
                <w:szCs w:val="21"/>
                <w14:textFill>
                  <w14:solidFill>
                    <w14:schemeClr w14:val="tx1"/>
                  </w14:solidFill>
                </w14:textFill>
              </w:rPr>
              <w:t>评审日期：</w:t>
            </w:r>
          </w:p>
        </w:tc>
      </w:tr>
    </w:tbl>
    <w:p w14:paraId="782F9E1C">
      <w:pPr>
        <w:rPr>
          <w:rFonts w:ascii="Times New Roman" w:hAnsi="Times New Roman" w:eastAsia="仿宋" w:cs="Times New Roman"/>
          <w:color w:val="000000" w:themeColor="text1"/>
          <w:sz w:val="24"/>
          <w:szCs w:val="24"/>
          <w14:textFill>
            <w14:solidFill>
              <w14:schemeClr w14:val="tx1"/>
            </w14:solidFill>
          </w14:textFill>
        </w:rPr>
      </w:pPr>
    </w:p>
    <w:sectPr>
      <w:footerReference r:id="rId3" w:type="default"/>
      <w:pgSz w:w="16838" w:h="11906" w:orient="landscape"/>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6894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1133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11133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2NDhiNTAwN2UxMzZjMTMwMzliY2RkMGRjZTZlNjkifQ=="/>
    <w:docVar w:name="KSO_WPS_MARK_KEY" w:val="ef314b09-d096-4b9c-95b5-cba7c934f91c"/>
  </w:docVars>
  <w:rsids>
    <w:rsidRoot w:val="005A741C"/>
    <w:rsid w:val="00017199"/>
    <w:rsid w:val="00037BFA"/>
    <w:rsid w:val="000B1998"/>
    <w:rsid w:val="000F7E2B"/>
    <w:rsid w:val="001A3D76"/>
    <w:rsid w:val="00262C6E"/>
    <w:rsid w:val="002C44D1"/>
    <w:rsid w:val="00394E4C"/>
    <w:rsid w:val="003B37A4"/>
    <w:rsid w:val="004E6D4E"/>
    <w:rsid w:val="00556818"/>
    <w:rsid w:val="00574B1B"/>
    <w:rsid w:val="005A741C"/>
    <w:rsid w:val="005C4178"/>
    <w:rsid w:val="005D1E39"/>
    <w:rsid w:val="00624C02"/>
    <w:rsid w:val="006539CE"/>
    <w:rsid w:val="00665684"/>
    <w:rsid w:val="006D4261"/>
    <w:rsid w:val="00716CC5"/>
    <w:rsid w:val="007F453D"/>
    <w:rsid w:val="00833523"/>
    <w:rsid w:val="008A16F1"/>
    <w:rsid w:val="00980716"/>
    <w:rsid w:val="009853BF"/>
    <w:rsid w:val="00990431"/>
    <w:rsid w:val="009B32A8"/>
    <w:rsid w:val="00AA74C7"/>
    <w:rsid w:val="00AC7962"/>
    <w:rsid w:val="00B17546"/>
    <w:rsid w:val="00B31188"/>
    <w:rsid w:val="00B339C9"/>
    <w:rsid w:val="00B931C6"/>
    <w:rsid w:val="00BA112B"/>
    <w:rsid w:val="00BA7482"/>
    <w:rsid w:val="00BD4ACC"/>
    <w:rsid w:val="00C70787"/>
    <w:rsid w:val="00CF203A"/>
    <w:rsid w:val="00D81162"/>
    <w:rsid w:val="00E64529"/>
    <w:rsid w:val="00EE52FA"/>
    <w:rsid w:val="00EF2199"/>
    <w:rsid w:val="00F161F5"/>
    <w:rsid w:val="00F276FF"/>
    <w:rsid w:val="00F75CB0"/>
    <w:rsid w:val="00FA6B4A"/>
    <w:rsid w:val="04F2372E"/>
    <w:rsid w:val="05831998"/>
    <w:rsid w:val="067C1834"/>
    <w:rsid w:val="0A487607"/>
    <w:rsid w:val="18BC5042"/>
    <w:rsid w:val="19F82AFF"/>
    <w:rsid w:val="1F2D3BB3"/>
    <w:rsid w:val="28F35E57"/>
    <w:rsid w:val="2B333229"/>
    <w:rsid w:val="2F2D51FF"/>
    <w:rsid w:val="2F5C2D21"/>
    <w:rsid w:val="2FC23967"/>
    <w:rsid w:val="31EC70F5"/>
    <w:rsid w:val="338576D5"/>
    <w:rsid w:val="34BD465A"/>
    <w:rsid w:val="36643DCC"/>
    <w:rsid w:val="395E5EC7"/>
    <w:rsid w:val="4AEC06D0"/>
    <w:rsid w:val="4E1D1C34"/>
    <w:rsid w:val="4F890912"/>
    <w:rsid w:val="524F1A19"/>
    <w:rsid w:val="55E65D7D"/>
    <w:rsid w:val="56A63F53"/>
    <w:rsid w:val="58651AED"/>
    <w:rsid w:val="59832A26"/>
    <w:rsid w:val="5C1C6A39"/>
    <w:rsid w:val="607B786F"/>
    <w:rsid w:val="60F94AA6"/>
    <w:rsid w:val="617554CC"/>
    <w:rsid w:val="6E17710E"/>
    <w:rsid w:val="76B97688"/>
    <w:rsid w:val="7E7B1510"/>
    <w:rsid w:val="7F2A5643"/>
    <w:rsid w:val="7F8B4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customStyle="1" w:styleId="3">
    <w:name w:val="正文文本 21"/>
    <w:basedOn w:val="1"/>
    <w:qFormat/>
    <w:uiPriority w:val="0"/>
    <w:pPr>
      <w:widowControl w:val="0"/>
      <w:adjustRightInd w:val="0"/>
      <w:ind w:firstLine="570"/>
      <w:jc w:val="both"/>
      <w:textAlignment w:val="baseline"/>
    </w:pPr>
    <w:rPr>
      <w:kern w:val="2"/>
      <w:sz w:val="28"/>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341</Words>
  <Characters>1947</Characters>
  <Lines>16</Lines>
  <Paragraphs>4</Paragraphs>
  <TotalTime>2</TotalTime>
  <ScaleCrop>false</ScaleCrop>
  <LinksUpToDate>false</LinksUpToDate>
  <CharactersWithSpaces>2284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2024-04-03T01:26:00Z</dcterms:created>
  <dc:creator>Administrator</dc:creator>
  <cp:lastModifiedBy>WPS</cp:lastModifiedBy>
  <dcterms:modified xsi:type="dcterms:W3CDTF">2026-03-24T03:01:55Z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8E4227E9A72D409CA89470CFAE87B735</vt:lpwstr>
  </property>
</Properties>
</file>